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recurso-de-apelação"/>
    <w:p>
      <w:pPr>
        <w:pStyle w:val="Heading2"/>
      </w:pPr>
      <w:r>
        <w:t xml:space="preserve">RECURSO DE APELAÇÃO</w:t>
      </w:r>
    </w:p>
    <w:p>
      <w:pPr>
        <w:pStyle w:val="FirstParagraph"/>
      </w:pPr>
      <w:r>
        <w:rPr>
          <w:b/>
          <w:bCs/>
        </w:rPr>
        <w:t xml:space="preserve">Processo Penal n.º 2023/0456 – Burla Informática por Phishing – Transferências Fraudulentas de €32 000</w:t>
      </w:r>
    </w:p>
    <w:p>
      <w:pPr>
        <w:pStyle w:val="BodyText"/>
      </w:pPr>
      <w:r>
        <w:rPr>
          <w:b/>
          <w:bCs/>
        </w:rPr>
        <w:t xml:space="preserve">Recorrente:</w:t>
      </w:r>
      <w:r>
        <w:t xml:space="preserve"> </w:t>
      </w:r>
      <w:r>
        <w:t xml:space="preserve">Ministério Público – Secção de Instrução Criminal do Tribunal Judicial de Lisboa</w:t>
      </w:r>
      <w:r>
        <w:br/>
      </w:r>
      <w:r>
        <w:rPr>
          <w:b/>
          <w:bCs/>
        </w:rPr>
        <w:t xml:space="preserve">Recorrido:</w:t>
      </w:r>
      <w:r>
        <w:t xml:space="preserve"> </w:t>
      </w:r>
      <w:r>
        <w:t xml:space="preserve">João da Silva, residente em Rua da Prata, 45, 1150‑265 Lisboa</w:t>
      </w:r>
      <w:r>
        <w:br/>
      </w:r>
      <w:r>
        <w:rPr>
          <w:b/>
          <w:bCs/>
        </w:rPr>
        <w:t xml:space="preserve">Juiz a quo:</w:t>
      </w:r>
      <w:r>
        <w:t xml:space="preserve"> </w:t>
      </w:r>
      <w:r>
        <w:t xml:space="preserve">Juiz de Instrução Criminal n.º 4 do Tribunal Judicial de Lisboa</w:t>
      </w:r>
    </w:p>
    <w:bookmarkStart w:id="15" w:name="X7228257afcb9bca0a332d37d53240ed5475d0c0"/>
    <w:p>
      <w:pPr>
        <w:pStyle w:val="Heading3"/>
      </w:pPr>
      <w:r>
        <w:t xml:space="preserve">Exmos. Srs. Desembargadores do Tribunal da Relação de Lisboa</w:t>
      </w:r>
    </w:p>
    <w:bookmarkStart w:id="9" w:name="introdução"/>
    <w:p>
      <w:pPr>
        <w:pStyle w:val="Heading4"/>
      </w:pPr>
      <w:r>
        <w:t xml:space="preserve">1. Introdução</w:t>
      </w:r>
    </w:p>
    <w:p>
      <w:pPr>
        <w:pStyle w:val="FirstParagraph"/>
      </w:pPr>
      <w:r>
        <w:t xml:space="preserve">1.1. O Ministério Público, por intermédio da Procuradora Dr.ª Marta Santos (OA 54321), vem, respeitosamente, interpor</w:t>
      </w:r>
      <w:r>
        <w:t xml:space="preserve"> </w:t>
      </w:r>
      <w:r>
        <w:rPr>
          <w:b/>
          <w:bCs/>
        </w:rPr>
        <w:t xml:space="preserve">recurso de apelação</w:t>
      </w:r>
      <w:r>
        <w:t xml:space="preserve"> </w:t>
      </w:r>
      <w:r>
        <w:t xml:space="preserve">contra a decisão interlocutória proferida em</w:t>
      </w:r>
      <w:r>
        <w:t xml:space="preserve"> </w:t>
      </w:r>
      <w:r>
        <w:rPr>
          <w:b/>
          <w:bCs/>
        </w:rPr>
        <w:t xml:space="preserve">15 de maio de 2024</w:t>
      </w:r>
      <w:r>
        <w:t xml:space="preserve">, nos autos do processo acima referenciado, que</w:t>
      </w:r>
      <w:r>
        <w:t xml:space="preserve"> </w:t>
      </w:r>
      <w:r>
        <w:rPr>
          <w:b/>
          <w:bCs/>
        </w:rPr>
        <w:t xml:space="preserve">rejeitou o pedido de produção de prova pericial eletrónica</w:t>
      </w:r>
      <w:r>
        <w:t xml:space="preserve"> </w:t>
      </w:r>
      <w:r>
        <w:t xml:space="preserve">formulado pela acusação.</w:t>
      </w:r>
    </w:p>
    <w:p>
      <w:pPr>
        <w:pStyle w:val="BodyText"/>
      </w:pPr>
      <w:r>
        <w:t xml:space="preserve">1.2. O recurso tem por fundamento o disposto nos artigos</w:t>
      </w:r>
      <w:r>
        <w:t xml:space="preserve"> </w:t>
      </w:r>
      <w:r>
        <w:rPr>
          <w:b/>
          <w:bCs/>
        </w:rPr>
        <w:t xml:space="preserve">639.º a 647.º</w:t>
      </w:r>
      <w:r>
        <w:t xml:space="preserve"> </w:t>
      </w:r>
      <w:r>
        <w:t xml:space="preserve">do Código de Processo Penal, bem como nos princípios da verdade material, do contraditório e da ampla defesa, consagrados na Constituição da República Portuguesa.</w:t>
      </w:r>
    </w:p>
    <w:bookmarkEnd w:id="9"/>
    <w:bookmarkStart w:id="10" w:name="síntese-dos-factos"/>
    <w:p>
      <w:pPr>
        <w:pStyle w:val="Heading4"/>
      </w:pPr>
      <w:r>
        <w:t xml:space="preserve">2. Síntese dos Factos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376"/>
        <w:gridCol w:w="2772"/>
        <w:gridCol w:w="277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Facto</w:t>
            </w:r>
          </w:p>
        </w:tc>
        <w:tc>
          <w:tcPr/>
          <w:p>
            <w:pPr>
              <w:pStyle w:val="Compact"/>
            </w:pPr>
            <w:r>
              <w:t xml:space="preserve">Valor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 a 25 de março de 2023</w:t>
            </w:r>
          </w:p>
        </w:tc>
        <w:tc>
          <w:tcPr/>
          <w:p>
            <w:pPr>
              <w:pStyle w:val="Compact"/>
            </w:pPr>
            <w:r>
              <w:t xml:space="preserve">Transferências bancárias fraudulentas, mediante phishing, da conta de Maria Fernandes (NIB 12345678) para contas de terceiros controladas pelo réu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€32 000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 de março de 2023</w:t>
            </w:r>
          </w:p>
        </w:tc>
        <w:tc>
          <w:tcPr/>
          <w:p>
            <w:pPr>
              <w:pStyle w:val="Compact"/>
            </w:pPr>
            <w:r>
              <w:t xml:space="preserve">Envio de e‑mail spoofing que imitava o gestor da conta bancária da vítima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 de maio de 2023</w:t>
            </w:r>
          </w:p>
        </w:tc>
        <w:tc>
          <w:tcPr/>
          <w:p>
            <w:pPr>
              <w:pStyle w:val="Compact"/>
            </w:pPr>
            <w:r>
              <w:t xml:space="preserve">Decisão interlocutória que indeferiu a requisição de perícia informática sobre os registos dos servidores de correio eletrónico da vítima e do réu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pPr>
        <w:pStyle w:val="BodyText"/>
      </w:pPr>
      <w:r>
        <w:t xml:space="preserve">2.1. O Ministério Público requereu a prática de</w:t>
      </w:r>
      <w:r>
        <w:t xml:space="preserve"> </w:t>
      </w:r>
      <w:r>
        <w:rPr>
          <w:b/>
          <w:bCs/>
        </w:rPr>
        <w:t xml:space="preserve">perícia informática</w:t>
      </w:r>
      <w:r>
        <w:t xml:space="preserve"> </w:t>
      </w:r>
      <w:r>
        <w:t xml:space="preserve">a fim de demonstrar a autoria e a materialidade da burla, nos termos do artigo</w:t>
      </w:r>
      <w:r>
        <w:t xml:space="preserve"> </w:t>
      </w:r>
      <w:r>
        <w:rPr>
          <w:b/>
          <w:bCs/>
        </w:rPr>
        <w:t xml:space="preserve">217.º</w:t>
      </w:r>
      <w:r>
        <w:t xml:space="preserve"> </w:t>
      </w:r>
      <w:r>
        <w:t xml:space="preserve">do Código Penal e do artigo</w:t>
      </w:r>
      <w:r>
        <w:t xml:space="preserve"> </w:t>
      </w:r>
      <w:r>
        <w:rPr>
          <w:b/>
          <w:bCs/>
        </w:rPr>
        <w:t xml:space="preserve">292.º</w:t>
      </w:r>
      <w:r>
        <w:t xml:space="preserve"> </w:t>
      </w:r>
      <w:r>
        <w:t xml:space="preserve">do Código de Processo Penal.</w:t>
      </w:r>
    </w:p>
    <w:p>
      <w:pPr>
        <w:pStyle w:val="BodyText"/>
      </w:pPr>
      <w:r>
        <w:t xml:space="preserve">2.2. A decisão a quo, ao negar a produção da referida prova, viola o dever de instrução plena do processo e impede a verificação da verdade real.</w:t>
      </w:r>
    </w:p>
    <w:bookmarkEnd w:id="10"/>
    <w:bookmarkStart w:id="11" w:name="fundamentação-jurídica-do-recurso"/>
    <w:p>
      <w:pPr>
        <w:pStyle w:val="Heading4"/>
      </w:pPr>
      <w:r>
        <w:t xml:space="preserve">3. Fundamentação Jurídica do Recurso</w:t>
      </w:r>
    </w:p>
    <w:p>
      <w:pPr>
        <w:pStyle w:val="FirstParagraph"/>
      </w:pPr>
      <w:r>
        <w:rPr>
          <w:b/>
          <w:bCs/>
        </w:rPr>
        <w:t xml:space="preserve">3.1. Violação do Direito à Prova</w:t>
      </w:r>
      <w:r>
        <w:br/>
      </w:r>
      <w:r>
        <w:t xml:space="preserve">- Nos termos do artigo</w:t>
      </w:r>
      <w:r>
        <w:t xml:space="preserve"> </w:t>
      </w:r>
      <w:r>
        <w:rPr>
          <w:b/>
          <w:bCs/>
        </w:rPr>
        <w:t xml:space="preserve">292.º, n.º 1</w:t>
      </w:r>
      <w:r>
        <w:t xml:space="preserve">, do CPP, a prática de todos os atos de prova necessários à demonstração dos factos controvertidos é obrigatória.</w:t>
      </w:r>
      <w:r>
        <w:br/>
      </w:r>
      <w:r>
        <w:t xml:space="preserve">- A decisão recorrida contraria o disposto no artigo</w:t>
      </w:r>
      <w:r>
        <w:t xml:space="preserve"> </w:t>
      </w:r>
      <w:r>
        <w:rPr>
          <w:b/>
          <w:bCs/>
        </w:rPr>
        <w:t xml:space="preserve">5.º da Constituição da República Portuguesa</w:t>
      </w:r>
      <w:r>
        <w:t xml:space="preserve">, que assegura a igualdade de armas e o direito à defesa, bem como o princípio da verdade material (artigo</w:t>
      </w:r>
      <w:r>
        <w:t xml:space="preserve"> </w:t>
      </w:r>
      <w:r>
        <w:rPr>
          <w:b/>
          <w:bCs/>
        </w:rPr>
        <w:t xml:space="preserve">19.º, n.º 1</w:t>
      </w:r>
      <w:r>
        <w:t xml:space="preserve">, da Constituição).</w:t>
      </w:r>
    </w:p>
    <w:p>
      <w:pPr>
        <w:pStyle w:val="BodyText"/>
      </w:pPr>
      <w:r>
        <w:rPr>
          <w:b/>
          <w:bCs/>
        </w:rPr>
        <w:t xml:space="preserve">3.2. Inexistência de Fundamentação Adequada</w:t>
      </w:r>
      <w:r>
        <w:br/>
      </w:r>
      <w:r>
        <w:t xml:space="preserve">- O despacho de 15 de maio de 2024 não indica, de forma motivada, as razões que levaram à sua conclusão, infringindo o dever de motivação consagrado no artigo</w:t>
      </w:r>
      <w:r>
        <w:t xml:space="preserve"> </w:t>
      </w:r>
      <w:r>
        <w:rPr>
          <w:b/>
          <w:bCs/>
        </w:rPr>
        <w:t xml:space="preserve">21.º</w:t>
      </w:r>
      <w:r>
        <w:t xml:space="preserve"> </w:t>
      </w:r>
      <w:r>
        <w:t xml:space="preserve">do CPP.</w:t>
      </w:r>
      <w:r>
        <w:br/>
      </w:r>
      <w:r>
        <w:t xml:space="preserve">- A mera alegação de “ausência de necessidade” não se sustenta, uma vez que a prova pericial é imprescindível para identificar a origem dos e‑mails fraudulentos e a cadeia de IPs envolvidos.</w:t>
      </w:r>
    </w:p>
    <w:p>
      <w:pPr>
        <w:pStyle w:val="BodyText"/>
      </w:pPr>
      <w:r>
        <w:rPr>
          <w:b/>
          <w:bCs/>
        </w:rPr>
        <w:t xml:space="preserve">3.3. Prejuízo Irreparável ao Ministério Público</w:t>
      </w:r>
      <w:r>
        <w:br/>
      </w:r>
      <w:r>
        <w:t xml:space="preserve">- Sem a perícia, a acusação fica impossibilitada de provar a autoria material, o que pode conduzir à absolvição indevida do réu, em violação do princípio da legalidade penal (artigo</w:t>
      </w:r>
      <w:r>
        <w:t xml:space="preserve"> </w:t>
      </w:r>
      <w:r>
        <w:rPr>
          <w:b/>
          <w:bCs/>
        </w:rPr>
        <w:t xml:space="preserve">1.º</w:t>
      </w:r>
      <w:r>
        <w:t xml:space="preserve"> </w:t>
      </w:r>
      <w:r>
        <w:t xml:space="preserve">do Código Penal).</w:t>
      </w:r>
    </w:p>
    <w:p>
      <w:pPr>
        <w:pStyle w:val="BodyText"/>
      </w:pPr>
      <w:r>
        <w:rPr>
          <w:b/>
          <w:bCs/>
        </w:rPr>
        <w:t xml:space="preserve">3.4. Jurisprudência Aplicável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STJ, Acórdão n.º 123/2021</w:t>
      </w:r>
      <w:r>
        <w:t xml:space="preserve">, de 10 de janeiro de 2021, reconheceu que a recusa injustificada de prova pericial informática constitui nulidade absoluta, devendo ser anulada a decisão que a rejeita.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Acórdão do Tribunal da Relação de Lisboa, n.º 567/22</w:t>
      </w:r>
      <w:r>
        <w:t xml:space="preserve">, de 5 de junho de 2022, reiterou a necessidade de motivação detalhada nas decisões interlocutórias que limitem o direito à prova.</w:t>
      </w:r>
    </w:p>
    <w:bookmarkEnd w:id="11"/>
    <w:bookmarkStart w:id="12" w:name="pedidos"/>
    <w:p>
      <w:pPr>
        <w:pStyle w:val="Heading4"/>
      </w:pPr>
      <w:r>
        <w:t xml:space="preserve">4. Pedidos</w:t>
      </w:r>
    </w:p>
    <w:p>
      <w:pPr>
        <w:pStyle w:val="FirstParagraph"/>
      </w:pPr>
      <w:r>
        <w:t xml:space="preserve">Face ao exposto, o Ministério Público requer a V. Exas. que: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52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Que seja conhecido e provido o presente recurso de apelação</w:t>
            </w:r>
            <w:r>
              <w:t xml:space="preserve">, nos termos dos artigos 639.º e seguintes do CPP;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Que seja anulada a decisão interlocutória de 15 de maio de 2024</w:t>
            </w:r>
            <w:r>
              <w:t xml:space="preserve">, reconhecendo a sua nulidade por violação do direito à prova e da motivação;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Que seja determinada a prática da perícia informática</w:t>
            </w:r>
            <w:r>
              <w:t xml:space="preserve"> </w:t>
            </w:r>
            <w:r>
              <w:t xml:space="preserve">nos servidores de correio eletrónico da vítima (Banco XYZ) e do réu, bem como a análise dos registos de acesso aos sistemas informáticos, nos termos do artigo 292.º, n.º 2, do CPP;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Que, caso entenda necessário</w:t>
            </w:r>
            <w:r>
              <w:t xml:space="preserve">, seja concedida a produção de prova testemunhal adicional, nomeadamente a oitiva de peritos em segurança informática;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Que sejam intimados</w:t>
            </w:r>
            <w:r>
              <w:t xml:space="preserve"> </w:t>
            </w:r>
            <w:r>
              <w:t xml:space="preserve">o Ministério Público, o réu e os seus mandatários para que apresentem, em 10 dias úteis, as suas alegações finais sobre a questão da prova pericial.</w:t>
            </w:r>
          </w:p>
        </w:tc>
      </w:tr>
    </w:tbl>
    <w:bookmarkEnd w:id="12"/>
    <w:bookmarkStart w:id="13" w:name="provas-a-anexar"/>
    <w:p>
      <w:pPr>
        <w:pStyle w:val="Heading4"/>
      </w:pPr>
      <w:r>
        <w:t xml:space="preserve">5. Provas a Anexar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Cópia do despacho de 15 de maio de 2024</w:t>
      </w:r>
      <w:r>
        <w:t xml:space="preserve"> </w:t>
      </w:r>
      <w:r>
        <w:t xml:space="preserve">(decisão recorrida);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Cópia do requerimento de perícia informática</w:t>
      </w:r>
      <w:r>
        <w:t xml:space="preserve"> </w:t>
      </w:r>
      <w:r>
        <w:t xml:space="preserve">apresentado em 02 de maio de 2024;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Extratos bancários da vítima</w:t>
      </w:r>
      <w:r>
        <w:t xml:space="preserve"> </w:t>
      </w:r>
      <w:r>
        <w:t xml:space="preserve">que evidenciam as transferências fraudulentas (anexo I);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Cópia dos e‑mails suspeitos</w:t>
      </w:r>
      <w:r>
        <w:t xml:space="preserve"> </w:t>
      </w:r>
      <w:r>
        <w:t xml:space="preserve">(anexo II);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Jurisprudência citada</w:t>
      </w:r>
      <w:r>
        <w:t xml:space="preserve"> </w:t>
      </w:r>
      <w:r>
        <w:t xml:space="preserve">(acórdãos STJ 123/2021 e TRL 567/22).</w:t>
      </w:r>
    </w:p>
    <w:bookmarkEnd w:id="13"/>
    <w:bookmarkStart w:id="14" w:name="conclusão"/>
    <w:p>
      <w:pPr>
        <w:pStyle w:val="Heading4"/>
      </w:pPr>
      <w:r>
        <w:t xml:space="preserve">6. Conclusão</w:t>
      </w:r>
    </w:p>
    <w:p>
      <w:pPr>
        <w:pStyle w:val="FirstParagraph"/>
      </w:pPr>
      <w:r>
        <w:t xml:space="preserve">A decisão ora recorrida impede a completa instrução do processo, comprometendo a eficácia da justiça penal e o cumprimento do princípio da verdade material. O Ministério Público requer, portanto, a reforma da decisão a quo, a fim de garantir a produção da prova essencial à demonstração da prática da burla informática atribuída ao réu João da Silva.</w:t>
      </w:r>
    </w:p>
    <w:p>
      <w:pPr>
        <w:pStyle w:val="BodyText"/>
      </w:pPr>
      <w:r>
        <w:t xml:space="preserve">Nestes termos, pede deferimento.</w:t>
      </w:r>
    </w:p>
    <w:p>
      <w:pPr>
        <w:pStyle w:val="BodyText"/>
      </w:pPr>
      <w:r>
        <w:t xml:space="preserve">Lisboa,</w:t>
      </w:r>
      <w:r>
        <w:t xml:space="preserve"> </w:t>
      </w:r>
      <w:r>
        <w:rPr>
          <w:b/>
          <w:bCs/>
        </w:rPr>
        <w:t xml:space="preserve">22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Procuradora do Ministério Público</w:t>
      </w:r>
      <w:r>
        <w:br/>
      </w:r>
      <w:r>
        <w:t xml:space="preserve">Dr.ª Marta Santos – OA 54321</w:t>
      </w:r>
    </w:p>
    <w:p>
      <w:pPr>
        <w:pStyle w:val="BodyText"/>
      </w:pPr>
      <w:r>
        <w:rPr>
          <w:b/>
          <w:bCs/>
        </w:rPr>
        <w:t xml:space="preserve">Advogados da Defesa (para efeitos de comunicação)</w:t>
      </w:r>
      <w:r>
        <w:br/>
      </w:r>
      <w:r>
        <w:t xml:space="preserve">Dr. Ana Pereira – OA 12345</w:t>
      </w:r>
      <w:r>
        <w:br/>
      </w:r>
      <w:r>
        <w:t xml:space="preserve">Dr. Luís Carvalho – OA 67890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Documento elaborado e assinado digitalmente nos termos da Lei n.º 37/2019, de 21 de agosto, que regula a assinatura eletrónica.</w:t>
      </w:r>
    </w:p>
    <w:bookmarkEnd w:id="14"/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2026-02-22T19:01:58Z</dcterms:created>
  <dcterms:modified xsi:type="dcterms:W3CDTF">2026-02-22T19:01:58Z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